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191" w14:textId="77777777" w:rsidR="0002370D" w:rsidRDefault="00E65117">
      <w:pPr>
        <w:pStyle w:val="Heading1"/>
        <w:jc w:val="center"/>
      </w:pPr>
      <w:r>
        <w:rPr>
          <w:noProof/>
        </w:rPr>
        <w:drawing>
          <wp:inline distT="0" distB="0" distL="0" distR="0" wp14:anchorId="14993191" wp14:editId="14993192">
            <wp:extent cx="1899592" cy="1315035"/>
            <wp:effectExtent l="0" t="0" r="5408"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99592" cy="1315035"/>
                    </a:xfrm>
                    <a:prstGeom prst="rect">
                      <a:avLst/>
                    </a:prstGeom>
                    <a:noFill/>
                    <a:ln>
                      <a:noFill/>
                      <a:prstDash/>
                    </a:ln>
                  </pic:spPr>
                </pic:pic>
              </a:graphicData>
            </a:graphic>
          </wp:inline>
        </w:drawing>
      </w:r>
    </w:p>
    <w:p w14:paraId="14993192" w14:textId="77777777" w:rsidR="0002370D" w:rsidRDefault="00E65117">
      <w:pPr>
        <w:pStyle w:val="Heading1"/>
      </w:pPr>
      <w:r>
        <w:t>Policy for managing serial and unreasonable complaints</w:t>
      </w:r>
    </w:p>
    <w:p w14:paraId="14993193" w14:textId="77777777" w:rsidR="0002370D" w:rsidRDefault="00E65117">
      <w:pPr>
        <w:pStyle w:val="Heading2"/>
        <w:jc w:val="center"/>
      </w:pPr>
      <w:r>
        <w:t>Leasingham St Andrew’s CofE Primary School</w:t>
      </w:r>
    </w:p>
    <w:tbl>
      <w:tblPr>
        <w:tblW w:w="9714" w:type="dxa"/>
        <w:tblCellMar>
          <w:left w:w="10" w:type="dxa"/>
          <w:right w:w="10" w:type="dxa"/>
        </w:tblCellMar>
        <w:tblLook w:val="04A0" w:firstRow="1" w:lastRow="0" w:firstColumn="1" w:lastColumn="0" w:noHBand="0" w:noVBand="1"/>
      </w:tblPr>
      <w:tblGrid>
        <w:gridCol w:w="9714"/>
      </w:tblGrid>
      <w:tr w:rsidR="0002370D" w14:paraId="149931B3"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tbl>
            <w:tblPr>
              <w:tblW w:w="9488" w:type="dxa"/>
              <w:tblCellMar>
                <w:left w:w="10" w:type="dxa"/>
                <w:right w:w="10" w:type="dxa"/>
              </w:tblCellMar>
              <w:tblLook w:val="04A0" w:firstRow="1" w:lastRow="0" w:firstColumn="1" w:lastColumn="0" w:noHBand="0" w:noVBand="1"/>
            </w:tblPr>
            <w:tblGrid>
              <w:gridCol w:w="4744"/>
              <w:gridCol w:w="4744"/>
            </w:tblGrid>
            <w:tr w:rsidR="0002370D" w14:paraId="14993196"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4" w14:textId="77777777" w:rsidR="0002370D" w:rsidRDefault="00E65117">
                  <w:pPr>
                    <w:rPr>
                      <w:b/>
                      <w:bCs/>
                    </w:rPr>
                  </w:pPr>
                  <w:r>
                    <w:rPr>
                      <w:b/>
                      <w:bCs/>
                    </w:rPr>
                    <w:t>Policy Status</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5" w14:textId="77777777" w:rsidR="0002370D" w:rsidRDefault="00E65117">
                  <w:r>
                    <w:t>Compulsory</w:t>
                  </w:r>
                </w:p>
              </w:tc>
            </w:tr>
            <w:tr w:rsidR="0002370D" w14:paraId="14993199"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7" w14:textId="77777777" w:rsidR="0002370D" w:rsidRDefault="00E65117">
                  <w:pPr>
                    <w:rPr>
                      <w:b/>
                      <w:bCs/>
                    </w:rPr>
                  </w:pPr>
                  <w:r>
                    <w:rPr>
                      <w:b/>
                      <w:bCs/>
                    </w:rPr>
                    <w:t>Needs to go on website?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8" w14:textId="77777777" w:rsidR="0002370D" w:rsidRDefault="00E65117">
                  <w:r>
                    <w:t>Yes</w:t>
                  </w:r>
                </w:p>
              </w:tc>
            </w:tr>
            <w:tr w:rsidR="0002370D" w14:paraId="1499319C"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A" w14:textId="77777777" w:rsidR="0002370D" w:rsidRDefault="00E65117">
                  <w:pPr>
                    <w:rPr>
                      <w:b/>
                      <w:bCs/>
                    </w:rPr>
                  </w:pPr>
                  <w:r>
                    <w:rPr>
                      <w:b/>
                      <w:bCs/>
                    </w:rPr>
                    <w:t>Review Requirements</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B" w14:textId="77777777" w:rsidR="0002370D" w:rsidRDefault="00E65117">
                  <w:r>
                    <w:t>For Governors to decide</w:t>
                  </w:r>
                </w:p>
              </w:tc>
            </w:tr>
            <w:tr w:rsidR="0002370D" w14:paraId="1499319F"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D" w14:textId="77777777" w:rsidR="0002370D" w:rsidRDefault="00E65117">
                  <w:pPr>
                    <w:rPr>
                      <w:b/>
                      <w:bCs/>
                    </w:rPr>
                  </w:pPr>
                  <w:r>
                    <w:rPr>
                      <w:b/>
                      <w:bCs/>
                    </w:rPr>
                    <w:t>Agreed review frequency</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9E" w14:textId="5F3515AA" w:rsidR="0002370D" w:rsidRDefault="0007008F">
                  <w:r>
                    <w:t>Bi-</w:t>
                  </w:r>
                  <w:r w:rsidR="00E65117">
                    <w:t>Annually</w:t>
                  </w:r>
                </w:p>
              </w:tc>
            </w:tr>
            <w:tr w:rsidR="0002370D" w14:paraId="149931A2"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0" w14:textId="77777777" w:rsidR="0002370D" w:rsidRDefault="00E65117">
                  <w:pPr>
                    <w:rPr>
                      <w:b/>
                      <w:bCs/>
                    </w:rPr>
                  </w:pPr>
                  <w:r>
                    <w:rPr>
                      <w:b/>
                      <w:bCs/>
                    </w:rPr>
                    <w:t>Last date reviewed</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1" w14:textId="265F48D0" w:rsidR="0002370D" w:rsidRDefault="00AD5B10">
                  <w:r>
                    <w:t>New</w:t>
                  </w:r>
                </w:p>
              </w:tc>
            </w:tr>
            <w:tr w:rsidR="0002370D" w14:paraId="149931A5"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3" w14:textId="77777777" w:rsidR="0002370D" w:rsidRDefault="00E65117">
                  <w:pPr>
                    <w:rPr>
                      <w:b/>
                      <w:bCs/>
                    </w:rPr>
                  </w:pPr>
                  <w:r>
                    <w:rPr>
                      <w:b/>
                      <w:bCs/>
                    </w:rPr>
                    <w:t>Due for review by</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4" w14:textId="77777777" w:rsidR="0002370D" w:rsidRDefault="00E65117">
                  <w:r>
                    <w:t>Summer 2021</w:t>
                  </w:r>
                </w:p>
              </w:tc>
            </w:tr>
            <w:tr w:rsidR="0002370D" w14:paraId="149931A8"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6" w14:textId="77777777" w:rsidR="0002370D" w:rsidRDefault="00E65117">
                  <w:pPr>
                    <w:rPr>
                      <w:b/>
                      <w:bCs/>
                    </w:rPr>
                  </w:pPr>
                  <w:r>
                    <w:rPr>
                      <w:b/>
                      <w:bCs/>
                    </w:rPr>
                    <w:t>Schedule for review</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7" w14:textId="3907C231" w:rsidR="0002370D" w:rsidRDefault="00E65117">
                  <w:r>
                    <w:t>Summer 20</w:t>
                  </w:r>
                  <w:r w:rsidR="007E2E08">
                    <w:t>2</w:t>
                  </w:r>
                  <w:r w:rsidR="0007008F">
                    <w:t>3</w:t>
                  </w:r>
                </w:p>
              </w:tc>
            </w:tr>
            <w:tr w:rsidR="0002370D" w14:paraId="149931AB"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9" w14:textId="77777777" w:rsidR="0002370D" w:rsidRDefault="00E65117">
                  <w:pPr>
                    <w:rPr>
                      <w:b/>
                      <w:bCs/>
                    </w:rPr>
                  </w:pPr>
                  <w:r>
                    <w:rPr>
                      <w:b/>
                      <w:bCs/>
                    </w:rPr>
                    <w:t>Governor responsible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A" w14:textId="77777777" w:rsidR="0002370D" w:rsidRDefault="0002370D"/>
              </w:tc>
            </w:tr>
            <w:tr w:rsidR="0002370D" w14:paraId="149931AE"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C" w14:textId="77777777" w:rsidR="0002370D" w:rsidRDefault="00E65117">
                  <w:pPr>
                    <w:rPr>
                      <w:b/>
                      <w:bCs/>
                    </w:rPr>
                  </w:pPr>
                  <w:r>
                    <w:rPr>
                      <w:b/>
                      <w:bCs/>
                    </w:rPr>
                    <w:t>Staff member(s) responsible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D" w14:textId="77777777" w:rsidR="0002370D" w:rsidRDefault="00E65117">
                  <w:r>
                    <w:t>Head Teacher</w:t>
                  </w:r>
                </w:p>
              </w:tc>
            </w:tr>
            <w:tr w:rsidR="0002370D" w14:paraId="149931B1"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AF" w14:textId="77777777" w:rsidR="0002370D" w:rsidRDefault="00E65117">
                  <w:pPr>
                    <w:rPr>
                      <w:b/>
                      <w:bCs/>
                    </w:rPr>
                  </w:pPr>
                  <w:r>
                    <w:rPr>
                      <w:b/>
                      <w:bCs/>
                    </w:rPr>
                    <w:t>Governor Approval Method</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0" w14:textId="77777777" w:rsidR="0002370D" w:rsidRDefault="00E65117">
                  <w:r>
                    <w:t>Full Governing Body</w:t>
                  </w:r>
                </w:p>
              </w:tc>
            </w:tr>
          </w:tbl>
          <w:p w14:paraId="149931B2" w14:textId="77777777" w:rsidR="0002370D" w:rsidRDefault="0002370D"/>
        </w:tc>
      </w:tr>
    </w:tbl>
    <w:p w14:paraId="149931B4" w14:textId="77777777" w:rsidR="0002370D" w:rsidRDefault="0002370D"/>
    <w:tbl>
      <w:tblPr>
        <w:tblW w:w="9742" w:type="dxa"/>
        <w:tblCellMar>
          <w:left w:w="10" w:type="dxa"/>
          <w:right w:w="10" w:type="dxa"/>
        </w:tblCellMar>
        <w:tblLook w:val="04A0" w:firstRow="1" w:lastRow="0" w:firstColumn="1" w:lastColumn="0" w:noHBand="0" w:noVBand="1"/>
      </w:tblPr>
      <w:tblGrid>
        <w:gridCol w:w="2435"/>
        <w:gridCol w:w="2435"/>
        <w:gridCol w:w="2436"/>
        <w:gridCol w:w="2436"/>
      </w:tblGrid>
      <w:tr w:rsidR="0002370D" w14:paraId="149931B6" w14:textId="77777777">
        <w:tc>
          <w:tcPr>
            <w:tcW w:w="97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5" w14:textId="77777777" w:rsidR="0002370D" w:rsidRDefault="00E65117">
            <w:pPr>
              <w:jc w:val="center"/>
              <w:rPr>
                <w:b/>
                <w:bCs/>
              </w:rPr>
            </w:pPr>
            <w:r>
              <w:rPr>
                <w:b/>
                <w:bCs/>
              </w:rPr>
              <w:t>Review history in last two years</w:t>
            </w:r>
          </w:p>
        </w:tc>
      </w:tr>
      <w:tr w:rsidR="0002370D" w14:paraId="149931BB" w14:textId="77777777">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7" w14:textId="77777777" w:rsidR="0002370D" w:rsidRDefault="00E65117">
            <w:pPr>
              <w:jc w:val="center"/>
              <w:rPr>
                <w:b/>
                <w:bCs/>
              </w:rPr>
            </w:pPr>
            <w:r>
              <w:rPr>
                <w:b/>
                <w:bCs/>
              </w:rPr>
              <w:t>Review Date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8" w14:textId="77777777" w:rsidR="0002370D" w:rsidRDefault="00E65117">
            <w:pPr>
              <w:jc w:val="center"/>
              <w:rPr>
                <w:b/>
                <w:bCs/>
              </w:rPr>
            </w:pPr>
            <w:r>
              <w:rPr>
                <w:b/>
                <w:bCs/>
              </w:rPr>
              <w:t>Changes Made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9" w14:textId="77777777" w:rsidR="0002370D" w:rsidRDefault="00E65117">
            <w:pPr>
              <w:jc w:val="center"/>
              <w:rPr>
                <w:b/>
                <w:bCs/>
              </w:rPr>
            </w:pPr>
            <w:r>
              <w:rPr>
                <w:b/>
                <w:bCs/>
              </w:rPr>
              <w:t>By Whom</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A" w14:textId="77777777" w:rsidR="0002370D" w:rsidRDefault="00E65117">
            <w:pPr>
              <w:jc w:val="center"/>
              <w:rPr>
                <w:b/>
                <w:bCs/>
              </w:rPr>
            </w:pPr>
            <w:r>
              <w:rPr>
                <w:b/>
                <w:bCs/>
              </w:rPr>
              <w:t>Date Shared with staff</w:t>
            </w:r>
          </w:p>
        </w:tc>
      </w:tr>
      <w:tr w:rsidR="0002370D" w14:paraId="149931C0" w14:textId="77777777">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C" w14:textId="77777777" w:rsidR="0002370D" w:rsidRDefault="00E65117">
            <w:r>
              <w:t>Summer 2021</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D" w14:textId="77777777" w:rsidR="0002370D" w:rsidRDefault="00E65117">
            <w:r>
              <w:t>DFE Model Policy Adopted</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E" w14:textId="77777777" w:rsidR="0002370D" w:rsidRDefault="00E65117">
            <w:r>
              <w:t>Full Governing Body</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931BF" w14:textId="77777777" w:rsidR="0002370D" w:rsidRDefault="0002370D"/>
        </w:tc>
      </w:tr>
    </w:tbl>
    <w:p w14:paraId="149931C1" w14:textId="77777777" w:rsidR="0002370D" w:rsidRDefault="0002370D"/>
    <w:p w14:paraId="149931C2" w14:textId="77777777" w:rsidR="0002370D" w:rsidRDefault="0002370D">
      <w:pPr>
        <w:pageBreakBefore/>
        <w:suppressAutoHyphens w:val="0"/>
        <w:spacing w:after="0" w:line="240" w:lineRule="auto"/>
      </w:pPr>
    </w:p>
    <w:p w14:paraId="149931C3" w14:textId="77777777" w:rsidR="0002370D" w:rsidRDefault="00E65117">
      <w:pPr>
        <w:pStyle w:val="Heading1"/>
      </w:pPr>
      <w:r>
        <w:t>Policy for managing serial and unreasonable complaints</w:t>
      </w:r>
    </w:p>
    <w:p w14:paraId="149931C4" w14:textId="77777777" w:rsidR="0002370D" w:rsidRDefault="0002370D"/>
    <w:tbl>
      <w:tblPr>
        <w:tblW w:w="9714" w:type="dxa"/>
        <w:tblCellMar>
          <w:left w:w="10" w:type="dxa"/>
          <w:right w:w="10" w:type="dxa"/>
        </w:tblCellMar>
        <w:tblLook w:val="04A0" w:firstRow="1" w:lastRow="0" w:firstColumn="1" w:lastColumn="0" w:noHBand="0" w:noVBand="1"/>
      </w:tblPr>
      <w:tblGrid>
        <w:gridCol w:w="9714"/>
      </w:tblGrid>
      <w:tr w:rsidR="0002370D" w14:paraId="149931C7"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14:paraId="149931C5" w14:textId="77777777" w:rsidR="0002370D" w:rsidRDefault="00E65117">
            <w:pPr>
              <w:pStyle w:val="ColouredBoxHeadline"/>
            </w:pPr>
            <w:r>
              <w:t>Note:</w:t>
            </w:r>
          </w:p>
          <w:p w14:paraId="149931C6" w14:textId="77777777" w:rsidR="0002370D" w:rsidRDefault="00E65117">
            <w:r>
              <w:t>This policy will also be used  to manage unreasonable or persistent contact not directly associated with, or resulting from, formal complaints.</w:t>
            </w:r>
          </w:p>
        </w:tc>
      </w:tr>
    </w:tbl>
    <w:p w14:paraId="149931C8" w14:textId="77777777" w:rsidR="0002370D" w:rsidRDefault="0002370D"/>
    <w:p w14:paraId="149931C9" w14:textId="77777777" w:rsidR="0002370D" w:rsidRDefault="00E65117">
      <w:r>
        <w:rPr>
          <w:rFonts w:cs="Arial"/>
          <w:color w:val="00B0F0"/>
        </w:rPr>
        <w:t xml:space="preserve">Leasingham St Andrew’s C of E Primary School </w:t>
      </w:r>
      <w: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149931CA" w14:textId="77777777" w:rsidR="0002370D" w:rsidRDefault="00E65117">
      <w:r>
        <w:rPr>
          <w:rFonts w:cs="Arial"/>
          <w:color w:val="00B0F0"/>
        </w:rPr>
        <w:t xml:space="preserve">Leasingham St Andrew’s C of E Primary School </w:t>
      </w:r>
      <w:r>
        <w:rPr>
          <w:rFonts w:cs="Arial"/>
        </w:rPr>
        <w:t>defines unreasonable behaviour as that which hinders our consideration of complaints</w:t>
      </w:r>
      <w:r>
        <w:t xml:space="preserve"> because of the frequency or nature of </w:t>
      </w:r>
      <w:r>
        <w:rPr>
          <w:rFonts w:cs="Arial"/>
        </w:rPr>
        <w:t>the complainant’s contact</w:t>
      </w:r>
      <w:r>
        <w:t xml:space="preserve"> with the school, </w:t>
      </w:r>
      <w:r>
        <w:rPr>
          <w:rFonts w:cs="Arial"/>
        </w:rPr>
        <w:t xml:space="preserve">such as, if the complainant: </w:t>
      </w:r>
    </w:p>
    <w:p w14:paraId="149931CB" w14:textId="77777777" w:rsidR="0002370D" w:rsidRDefault="00E65117">
      <w:pPr>
        <w:widowControl w:val="0"/>
        <w:numPr>
          <w:ilvl w:val="0"/>
          <w:numId w:val="11"/>
        </w:numPr>
        <w:tabs>
          <w:tab w:val="left" w:pos="360"/>
          <w:tab w:val="left" w:pos="567"/>
        </w:tabs>
        <w:overflowPunct w:val="0"/>
        <w:autoSpaceDE w:val="0"/>
        <w:spacing w:after="120"/>
        <w:ind w:left="568" w:hanging="284"/>
        <w:rPr>
          <w:rFonts w:cs="Arial"/>
          <w:lang w:val="en"/>
        </w:rPr>
      </w:pPr>
      <w:r>
        <w:rPr>
          <w:rFonts w:cs="Arial"/>
          <w:lang w:val="en"/>
        </w:rPr>
        <w:t>refuses to articulate their complaint or specify the grounds of a complaint or the outcomes sought by raising the complaint, despite offers of assistance</w:t>
      </w:r>
    </w:p>
    <w:p w14:paraId="149931CC" w14:textId="77777777" w:rsidR="0002370D" w:rsidRDefault="00E65117">
      <w:pPr>
        <w:widowControl w:val="0"/>
        <w:numPr>
          <w:ilvl w:val="0"/>
          <w:numId w:val="11"/>
        </w:numPr>
        <w:tabs>
          <w:tab w:val="left" w:pos="360"/>
          <w:tab w:val="left" w:pos="567"/>
        </w:tabs>
        <w:overflowPunct w:val="0"/>
        <w:autoSpaceDE w:val="0"/>
        <w:spacing w:after="120"/>
        <w:ind w:left="568" w:hanging="284"/>
      </w:pPr>
      <w:r>
        <w:rPr>
          <w:rFonts w:cs="Arial"/>
          <w:lang w:val="en"/>
        </w:rPr>
        <w:t xml:space="preserve">refuses to co-operate with the complaints investigation process </w:t>
      </w:r>
    </w:p>
    <w:p w14:paraId="149931CD" w14:textId="77777777" w:rsidR="0002370D" w:rsidRDefault="00E65117">
      <w:pPr>
        <w:widowControl w:val="0"/>
        <w:numPr>
          <w:ilvl w:val="0"/>
          <w:numId w:val="11"/>
        </w:numPr>
        <w:tabs>
          <w:tab w:val="left" w:pos="360"/>
          <w:tab w:val="left" w:pos="567"/>
        </w:tabs>
        <w:overflowPunct w:val="0"/>
        <w:autoSpaceDE w:val="0"/>
        <w:spacing w:before="100" w:after="120"/>
        <w:ind w:left="568" w:hanging="284"/>
        <w:rPr>
          <w:rFonts w:cs="Arial"/>
          <w:lang w:val="en"/>
        </w:rPr>
      </w:pPr>
      <w:r>
        <w:rPr>
          <w:rFonts w:cs="Arial"/>
          <w:lang w:val="en"/>
        </w:rPr>
        <w:t>refuses to accept that certain issues are not within the scope of the complaints procedure</w:t>
      </w:r>
    </w:p>
    <w:p w14:paraId="149931CE" w14:textId="77777777" w:rsidR="0002370D" w:rsidRDefault="00E65117">
      <w:pPr>
        <w:widowControl w:val="0"/>
        <w:numPr>
          <w:ilvl w:val="0"/>
          <w:numId w:val="11"/>
        </w:numPr>
        <w:tabs>
          <w:tab w:val="left" w:pos="360"/>
          <w:tab w:val="left" w:pos="567"/>
        </w:tabs>
        <w:overflowPunct w:val="0"/>
        <w:autoSpaceDE w:val="0"/>
        <w:spacing w:before="100" w:after="120"/>
        <w:ind w:left="568" w:hanging="284"/>
        <w:rPr>
          <w:rFonts w:cs="Arial"/>
          <w:lang w:val="en"/>
        </w:rPr>
      </w:pPr>
      <w:r>
        <w:rPr>
          <w:rFonts w:cs="Arial"/>
          <w:lang w:val="en"/>
        </w:rPr>
        <w:t>insists on the complaint being dealt with in ways which are incompatible with the complaints procedure or with good practice</w:t>
      </w:r>
    </w:p>
    <w:p w14:paraId="149931CF" w14:textId="77777777" w:rsidR="0002370D" w:rsidRDefault="00E65117">
      <w:pPr>
        <w:widowControl w:val="0"/>
        <w:numPr>
          <w:ilvl w:val="0"/>
          <w:numId w:val="1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14:paraId="149931D0" w14:textId="77777777" w:rsidR="0002370D" w:rsidRDefault="00E65117">
      <w:pPr>
        <w:widowControl w:val="0"/>
        <w:numPr>
          <w:ilvl w:val="0"/>
          <w:numId w:val="11"/>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raises large numbers of detailed but unimportant questions, and insists they are fully answered, often immediately and to their own timescales</w:t>
      </w:r>
    </w:p>
    <w:p w14:paraId="149931D1" w14:textId="77777777" w:rsidR="0002370D" w:rsidRDefault="00E65117">
      <w:pPr>
        <w:widowControl w:val="0"/>
        <w:numPr>
          <w:ilvl w:val="0"/>
          <w:numId w:val="11"/>
        </w:numPr>
        <w:tabs>
          <w:tab w:val="left" w:pos="360"/>
          <w:tab w:val="left" w:pos="567"/>
        </w:tabs>
        <w:overflowPunct w:val="0"/>
        <w:autoSpaceDE w:val="0"/>
        <w:spacing w:before="100" w:after="120"/>
        <w:ind w:left="568" w:hanging="284"/>
        <w:rPr>
          <w:rFonts w:cs="Arial"/>
          <w:lang w:val="en"/>
        </w:rPr>
      </w:pPr>
      <w:r>
        <w:rPr>
          <w:rFonts w:cs="Arial"/>
          <w:lang w:val="en"/>
        </w:rPr>
        <w:t>makes unjustified complaints about staff who are trying to deal with the issues, and seeks to have them replaced</w:t>
      </w:r>
    </w:p>
    <w:p w14:paraId="149931D2" w14:textId="77777777" w:rsidR="0002370D" w:rsidRDefault="00E65117">
      <w:pPr>
        <w:widowControl w:val="0"/>
        <w:numPr>
          <w:ilvl w:val="0"/>
          <w:numId w:val="11"/>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proceeds </w:t>
      </w:r>
    </w:p>
    <w:p w14:paraId="149931D3" w14:textId="77777777" w:rsidR="0002370D" w:rsidRDefault="00E65117">
      <w:pPr>
        <w:widowControl w:val="0"/>
        <w:numPr>
          <w:ilvl w:val="0"/>
          <w:numId w:val="11"/>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149931D4" w14:textId="77777777" w:rsidR="0002370D" w:rsidRDefault="00E65117">
      <w:pPr>
        <w:widowControl w:val="0"/>
        <w:numPr>
          <w:ilvl w:val="0"/>
          <w:numId w:val="11"/>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149931D5" w14:textId="77777777" w:rsidR="0002370D" w:rsidRDefault="00E65117">
      <w:pPr>
        <w:widowControl w:val="0"/>
        <w:numPr>
          <w:ilvl w:val="0"/>
          <w:numId w:val="11"/>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149931D6" w14:textId="77777777" w:rsidR="0002370D" w:rsidRDefault="00E65117">
      <w:pPr>
        <w:widowControl w:val="0"/>
        <w:numPr>
          <w:ilvl w:val="0"/>
          <w:numId w:val="11"/>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149931D7" w14:textId="77777777" w:rsidR="0002370D" w:rsidRDefault="00E65117">
      <w:pPr>
        <w:widowControl w:val="0"/>
        <w:numPr>
          <w:ilvl w:val="0"/>
          <w:numId w:val="12"/>
        </w:numPr>
        <w:tabs>
          <w:tab w:val="left" w:pos="360"/>
        </w:tabs>
        <w:overflowPunct w:val="0"/>
        <w:autoSpaceDE w:val="0"/>
        <w:spacing w:after="120" w:line="240" w:lineRule="auto"/>
        <w:ind w:left="709" w:hanging="425"/>
        <w:jc w:val="both"/>
        <w:rPr>
          <w:rFonts w:cs="Arial"/>
        </w:rPr>
      </w:pPr>
      <w:r>
        <w:rPr>
          <w:rFonts w:cs="Arial"/>
        </w:rPr>
        <w:lastRenderedPageBreak/>
        <w:t>uses threats to intimidate</w:t>
      </w:r>
    </w:p>
    <w:p w14:paraId="149931D8" w14:textId="77777777" w:rsidR="0002370D" w:rsidRDefault="00E65117">
      <w:pPr>
        <w:widowControl w:val="0"/>
        <w:numPr>
          <w:ilvl w:val="0"/>
          <w:numId w:val="12"/>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149931D9" w14:textId="77777777" w:rsidR="0002370D" w:rsidRDefault="00E65117">
      <w:pPr>
        <w:widowControl w:val="0"/>
        <w:numPr>
          <w:ilvl w:val="0"/>
          <w:numId w:val="12"/>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149931DA" w14:textId="77777777" w:rsidR="0002370D" w:rsidRDefault="00E65117">
      <w:pPr>
        <w:widowControl w:val="0"/>
        <w:numPr>
          <w:ilvl w:val="0"/>
          <w:numId w:val="12"/>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149931DB" w14:textId="77777777" w:rsidR="0002370D" w:rsidRDefault="00E65117">
      <w:pPr>
        <w:spacing w:before="360"/>
      </w:pPr>
      <w: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149931DC" w14:textId="77777777" w:rsidR="0002370D" w:rsidRDefault="00E65117">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149931DD" w14:textId="77777777" w:rsidR="0002370D" w:rsidRDefault="00E65117">
      <w:pPr>
        <w:spacing w:before="240"/>
      </w:pPr>
      <w:r>
        <w:rPr>
          <w:rFonts w:cs="Arial"/>
        </w:rPr>
        <w:t xml:space="preserve">If the behaviour continues, the headteacher will write to the complainant explaining that their behaviour is unreasonable and ask them to change it. For complainants who excessively contact </w:t>
      </w:r>
      <w:r>
        <w:rPr>
          <w:rFonts w:cs="Arial"/>
          <w:color w:val="00B0F0"/>
        </w:rPr>
        <w:t xml:space="preserve">Leasingham St Andrew’s C of E Primary School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149931DE" w14:textId="77777777" w:rsidR="0002370D" w:rsidRDefault="00E65117">
      <w:pPr>
        <w:spacing w:before="240"/>
      </w:pPr>
      <w:r>
        <w:rPr>
          <w:rFonts w:cs="Arial"/>
        </w:rPr>
        <w:t xml:space="preserve">In response to any serious incident of aggression or violence, we will immediately inform the police and communicate our actions in writing. This may include barring an individual </w:t>
      </w:r>
      <w:r>
        <w:rPr>
          <w:rFonts w:cs="Arial"/>
          <w:color w:val="00B0F0"/>
        </w:rPr>
        <w:t>from Leasingham St Andrew’s C of E Primary School</w:t>
      </w:r>
    </w:p>
    <w:sectPr w:rsidR="0002370D">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3197" w14:textId="77777777" w:rsidR="008776A2" w:rsidRDefault="00E65117">
      <w:pPr>
        <w:spacing w:after="0" w:line="240" w:lineRule="auto"/>
      </w:pPr>
      <w:r>
        <w:separator/>
      </w:r>
    </w:p>
  </w:endnote>
  <w:endnote w:type="continuationSeparator" w:id="0">
    <w:p w14:paraId="14993199" w14:textId="77777777" w:rsidR="008776A2" w:rsidRDefault="00E6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19B" w14:textId="77777777" w:rsidR="00DD797E" w:rsidRDefault="00E65117">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1499319C" w14:textId="77777777" w:rsidR="00DD797E" w:rsidRDefault="000700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319E" w14:textId="77777777" w:rsidR="00DD797E" w:rsidRDefault="00E6511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3193" w14:textId="77777777" w:rsidR="008776A2" w:rsidRDefault="00E65117">
      <w:pPr>
        <w:spacing w:after="0" w:line="240" w:lineRule="auto"/>
      </w:pPr>
      <w:r>
        <w:rPr>
          <w:color w:val="000000"/>
        </w:rPr>
        <w:separator/>
      </w:r>
    </w:p>
  </w:footnote>
  <w:footnote w:type="continuationSeparator" w:id="0">
    <w:p w14:paraId="14993195" w14:textId="77777777" w:rsidR="008776A2" w:rsidRDefault="00E65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D4D8A"/>
    <w:multiLevelType w:val="multilevel"/>
    <w:tmpl w:val="C1B241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1EA00781"/>
    <w:multiLevelType w:val="multilevel"/>
    <w:tmpl w:val="3576814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 w15:restartNumberingAfterBreak="0">
    <w:nsid w:val="21CF3974"/>
    <w:multiLevelType w:val="multilevel"/>
    <w:tmpl w:val="ABA2F7E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25BE2BF7"/>
    <w:multiLevelType w:val="multilevel"/>
    <w:tmpl w:val="9DAEAC8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7FE5B37"/>
    <w:multiLevelType w:val="multilevel"/>
    <w:tmpl w:val="1CAEA82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9511A6F"/>
    <w:multiLevelType w:val="multilevel"/>
    <w:tmpl w:val="B31E37C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3D427D0"/>
    <w:multiLevelType w:val="multilevel"/>
    <w:tmpl w:val="22CC4B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40E6B52"/>
    <w:multiLevelType w:val="multilevel"/>
    <w:tmpl w:val="114C041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55502129"/>
    <w:multiLevelType w:val="multilevel"/>
    <w:tmpl w:val="D1985C5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566C385C"/>
    <w:multiLevelType w:val="multilevel"/>
    <w:tmpl w:val="C5FE1EB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EED7BCC"/>
    <w:multiLevelType w:val="multilevel"/>
    <w:tmpl w:val="30BAAA7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5900550"/>
    <w:multiLevelType w:val="multilevel"/>
    <w:tmpl w:val="151C37C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7"/>
  </w:num>
  <w:num w:numId="2">
    <w:abstractNumId w:val="3"/>
  </w:num>
  <w:num w:numId="3">
    <w:abstractNumId w:val="9"/>
  </w:num>
  <w:num w:numId="4">
    <w:abstractNumId w:val="6"/>
  </w:num>
  <w:num w:numId="5">
    <w:abstractNumId w:val="2"/>
  </w:num>
  <w:num w:numId="6">
    <w:abstractNumId w:val="5"/>
  </w:num>
  <w:num w:numId="7">
    <w:abstractNumId w:val="8"/>
  </w:num>
  <w:num w:numId="8">
    <w:abstractNumId w:val="10"/>
  </w:num>
  <w:num w:numId="9">
    <w:abstractNumId w:val="4"/>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70D"/>
    <w:rsid w:val="0002370D"/>
    <w:rsid w:val="0007008F"/>
    <w:rsid w:val="007E2E08"/>
    <w:rsid w:val="00840D57"/>
    <w:rsid w:val="008776A2"/>
    <w:rsid w:val="00AD5B10"/>
    <w:rsid w:val="00E6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3191"/>
  <w15:docId w15:val="{F8F88C58-8E73-4FCB-ACFF-10948976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05A04-0430-4C53-B8DB-A6FE954045E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e991eed-0d9e-4c06-8244-41b01d754de3"/>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63D4E2-AE86-4C7A-8BE9-1C877E95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11EC-476F-4EEE-AE1C-F3FD9C2CB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NICOLA DURRANT</cp:lastModifiedBy>
  <cp:revision>5</cp:revision>
  <cp:lastPrinted>2021-09-27T13:37:00Z</cp:lastPrinted>
  <dcterms:created xsi:type="dcterms:W3CDTF">2021-05-16T17:38:00Z</dcterms:created>
  <dcterms:modified xsi:type="dcterms:W3CDTF">2021-09-27T13:40:00Z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0x0101000188D54858D5804BA8A2111020CCEDEE</vt:lpwstr>
  </property>
  <property fmtid="{D5CDD505-2E9C-101B-9397-08002B2CF9AE}" pid="4" name="_dlc_DocIdItemGuid">
    <vt:lpwstr>f932cb30-a47a-488d-898c-fd408f879a72</vt:lpwstr>
  </property>
</Properties>
</file>